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Rozhodnutí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ff0000"/>
        </w:rPr>
      </w:pPr>
      <w:bookmarkStart w:colFirst="0" w:colLast="0" w:name="_heading=h.uyr7ufio5836" w:id="0"/>
      <w:bookmarkEnd w:id="0"/>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ff0000"/>
        </w:rPr>
      </w:pPr>
      <w:bookmarkStart w:colFirst="0" w:colLast="0" w:name="_heading=h.gjdgxs" w:id="1"/>
      <w:bookmarkEnd w:id="1"/>
      <w:r w:rsidDel="00000000" w:rsidR="00000000" w:rsidRPr="00000000">
        <w:rPr>
          <w:rFonts w:ascii="Calibri" w:cs="Calibri" w:eastAsia="Calibri" w:hAnsi="Calibri"/>
          <w:b w:val="1"/>
          <w:color w:val="ff0000"/>
          <w:rtl w:val="0"/>
        </w:rPr>
        <w:t xml:space="preserve">Poskytovatel informuje, že ke dni 24.2.2023 byl do článku 4 Specifické podmínky Rozhodnutí o poskytnutí podpory přidán nový odstavec doplňující článek 17 Všeobecných podmínek.</w:t>
      </w:r>
    </w:p>
    <w:p w:rsidR="00000000" w:rsidDel="00000000" w:rsidP="00000000" w:rsidRDefault="00000000" w:rsidRPr="00000000" w14:paraId="00000004">
      <w:pPr>
        <w:rPr>
          <w:rFonts w:ascii="Calibri" w:cs="Calibri" w:eastAsia="Calibri" w:hAnsi="Calibri"/>
          <w:b w:val="1"/>
          <w:color w:val="ff0000"/>
        </w:rPr>
      </w:pPr>
      <w:bookmarkStart w:colFirst="0" w:colLast="0" w:name="_heading=h.grrhq2s1s4wx" w:id="2"/>
      <w:bookmarkEnd w:id="2"/>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A">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jako poskytovatel účelové podpory (dále jen „poskytovatel“) na straně jedné,</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rPr>
      </w:pPr>
      <w:r w:rsidDel="00000000" w:rsidR="00000000" w:rsidRPr="00000000">
        <w:rPr>
          <w:rFonts w:ascii="Calibri" w:cs="Calibri" w:eastAsia="Calibri" w:hAnsi="Calibri"/>
          <w:b w:val="1"/>
          <w:rtl w:val="0"/>
        </w:rPr>
        <w:t xml:space="preserve">Rozhodnutí o poskytnutí účelové podpory formou dotace z výdajů státního rozpočtu na výzkum, vývoj a inovace na řešení části programového projektu č. </w:t>
      </w:r>
      <w:r w:rsidDel="00000000" w:rsidR="00000000" w:rsidRPr="00000000">
        <w:rPr>
          <w:rFonts w:ascii="Calibri" w:cs="Calibri" w:eastAsia="Calibri" w:hAnsi="Calibri"/>
          <w:b w:val="1"/>
          <w:highlight w:val="yellow"/>
          <w:rtl w:val="0"/>
        </w:rPr>
        <w:t xml:space="preserve">XXXX</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F">
      <w:pPr>
        <w:jc w:val="center"/>
        <w:rPr>
          <w:rFonts w:ascii="Calibri" w:cs="Calibri" w:eastAsia="Calibri" w:hAnsi="Calibri"/>
        </w:rPr>
      </w:pPr>
      <w:r w:rsidDel="00000000" w:rsidR="00000000" w:rsidRPr="00000000">
        <w:rPr>
          <w:rFonts w:ascii="Calibri" w:cs="Calibri" w:eastAsia="Calibri" w:hAnsi="Calibri"/>
          <w:rtl w:val="0"/>
        </w:rPr>
        <w:t xml:space="preserve">(dále jen „Rozhodnutí“)</w:t>
      </w:r>
    </w:p>
    <w:p w:rsidR="00000000" w:rsidDel="00000000" w:rsidP="00000000" w:rsidRDefault="00000000" w:rsidRPr="00000000" w14:paraId="00000010">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b w:val="1"/>
          <w:highlight w:val="yellow"/>
          <w:rtl w:val="0"/>
        </w:rPr>
        <w:t xml:space="preserve">[organizaci]</w:t>
      </w:r>
      <w:r w:rsidDel="00000000" w:rsidR="00000000" w:rsidRPr="00000000">
        <w:rPr>
          <w:rtl w:val="0"/>
        </w:rPr>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se sídlem XXXXXXXX</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IČO: XXXXXXXX, DIČ: </w:t>
      </w:r>
      <w:r w:rsidDel="00000000" w:rsidR="00000000" w:rsidRPr="00000000">
        <w:rPr>
          <w:rFonts w:ascii="Calibri" w:cs="Calibri" w:eastAsia="Calibri" w:hAnsi="Calibri"/>
          <w:b w:val="1"/>
          <w:highlight w:val="yellow"/>
          <w:rtl w:val="0"/>
        </w:rPr>
        <w:t xml:space="preserve">XXXXXXXXXX</w:t>
      </w:r>
      <w:r w:rsidDel="00000000" w:rsidR="00000000" w:rsidRPr="00000000">
        <w:rPr>
          <w:rtl w:val="0"/>
        </w:rPr>
      </w:r>
    </w:p>
    <w:p w:rsidR="00000000" w:rsidDel="00000000" w:rsidP="00000000" w:rsidRDefault="00000000" w:rsidRPr="00000000" w14:paraId="00000014">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zastoupená: XXXXXXXX </w:t>
      </w:r>
      <w:r w:rsidDel="00000000" w:rsidR="00000000" w:rsidRPr="00000000">
        <w:rPr>
          <w:rtl w:val="0"/>
        </w:rPr>
      </w:r>
    </w:p>
    <w:p w:rsidR="00000000" w:rsidDel="00000000" w:rsidP="00000000" w:rsidRDefault="00000000" w:rsidRPr="00000000" w14:paraId="00000015">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kontaktní osoba: XXXXXXXX</w:t>
      </w:r>
      <w:r w:rsidDel="00000000" w:rsidR="00000000" w:rsidRPr="00000000">
        <w:rPr>
          <w:rFonts w:ascii="Calibri" w:cs="Calibri" w:eastAsia="Calibri" w:hAnsi="Calibri"/>
          <w:b w:val="1"/>
          <w:highlight w:val="yellow"/>
          <w:rtl w:val="0"/>
        </w:rPr>
        <w:t xml:space="preserve">, řešitel</w:t>
      </w:r>
      <w:r w:rsidDel="00000000" w:rsidR="00000000" w:rsidRPr="00000000">
        <w:rPr>
          <w:rtl w:val="0"/>
        </w:rPr>
      </w:r>
    </w:p>
    <w:p w:rsidR="00000000" w:rsidDel="00000000" w:rsidP="00000000" w:rsidRDefault="00000000" w:rsidRPr="00000000" w14:paraId="00000016">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bankovní spojení: XXXXXXXX</w:t>
      </w:r>
      <w:r w:rsidDel="00000000" w:rsidR="00000000" w:rsidRPr="00000000">
        <w:rPr>
          <w:rFonts w:ascii="Calibri" w:cs="Calibri" w:eastAsia="Calibri" w:hAnsi="Calibri"/>
          <w:b w:val="1"/>
          <w:highlight w:val="yellow"/>
          <w:rtl w:val="0"/>
        </w:rPr>
        <w:t xml:space="preserve"> - </w:t>
      </w:r>
      <w:r w:rsidDel="00000000" w:rsidR="00000000" w:rsidRPr="00000000">
        <w:rPr>
          <w:rFonts w:ascii="Calibri" w:cs="Calibri" w:eastAsia="Calibri" w:hAnsi="Calibri"/>
          <w:highlight w:val="yellow"/>
          <w:rtl w:val="0"/>
        </w:rPr>
        <w:t xml:space="preserve">XXXXXXXX</w:t>
      </w:r>
      <w:r w:rsidDel="00000000" w:rsidR="00000000" w:rsidRPr="00000000">
        <w:rPr>
          <w:rtl w:val="0"/>
        </w:rPr>
      </w:r>
    </w:p>
    <w:p w:rsidR="00000000" w:rsidDel="00000000" w:rsidP="00000000" w:rsidRDefault="00000000" w:rsidRPr="00000000" w14:paraId="00000017">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číslo účtu: XXXXXXXX</w:t>
      </w:r>
      <w:r w:rsidDel="00000000" w:rsidR="00000000" w:rsidRPr="00000000">
        <w:rPr>
          <w:rtl w:val="0"/>
        </w:rPr>
      </w:r>
    </w:p>
    <w:p w:rsidR="00000000" w:rsidDel="00000000" w:rsidP="00000000" w:rsidRDefault="00000000" w:rsidRPr="00000000" w14:paraId="00000018">
      <w:pPr>
        <w:spacing w:before="0" w:lineRule="auto"/>
        <w:rPr>
          <w:rFonts w:ascii="Calibri" w:cs="Calibri" w:eastAsia="Calibri" w:hAnsi="Calibri"/>
        </w:rPr>
      </w:pPr>
      <w:r w:rsidDel="00000000" w:rsidR="00000000" w:rsidRPr="00000000">
        <w:rPr>
          <w:rFonts w:ascii="Calibri" w:cs="Calibri" w:eastAsia="Calibri" w:hAnsi="Calibri"/>
          <w:rtl w:val="0"/>
        </w:rPr>
        <w:t xml:space="preserve">jako další účastník účelové podpory (dále jen „příjemce/další účastník“) na straně druhé</w:t>
      </w:r>
    </w:p>
    <w:p w:rsidR="00000000" w:rsidDel="00000000" w:rsidP="00000000" w:rsidRDefault="00000000" w:rsidRPr="00000000" w14:paraId="00000019">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before="360" w:lineRule="auto"/>
        <w:jc w:val="center"/>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2476800" cy="738072"/>
            <wp:effectExtent b="0" l="0" r="0" t="0"/>
            <wp:docPr id="5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6800" cy="738072"/>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F">
      <w:pPr>
        <w:spacing w:after="60" w:lineRule="auto"/>
        <w:rPr>
          <w:rFonts w:ascii="Calibri" w:cs="Calibri" w:eastAsia="Calibri" w:hAnsi="Calibri"/>
        </w:rPr>
      </w:pPr>
      <w:r w:rsidDel="00000000" w:rsidR="00000000" w:rsidRPr="00000000">
        <w:rPr>
          <w:rFonts w:ascii="Calibri" w:cs="Calibri" w:eastAsia="Calibri" w:hAnsi="Calibri"/>
          <w:rtl w:val="0"/>
        </w:rPr>
        <w:t xml:space="preserve">Návrh projektu </w:t>
      </w:r>
      <w:r w:rsidDel="00000000" w:rsidR="00000000" w:rsidRPr="00000000">
        <w:rPr>
          <w:rFonts w:ascii="Calibri" w:cs="Calibri" w:eastAsia="Calibri" w:hAnsi="Calibri"/>
          <w:highlight w:val="yellow"/>
          <w:rtl w:val="0"/>
        </w:rPr>
        <w:t xml:space="preserve">XXXX</w:t>
      </w:r>
      <w:r w:rsidDel="00000000" w:rsidR="00000000" w:rsidRPr="00000000">
        <w:rPr>
          <w:rFonts w:ascii="Calibri" w:cs="Calibri" w:eastAsia="Calibri" w:hAnsi="Calibri"/>
          <w:rtl w:val="0"/>
        </w:rPr>
        <w:t xml:space="preserve"> s názvem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byl přijat do mezinárodní výzvy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vyhlášené konsorciem poskytovatelů v ERA-NET Cofundu / Evropském partnerství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přičemž hlavní příjemce bude financován z následujícího programu: XXX. 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after="60" w:lineRule="auto"/>
        <w:rPr>
          <w:rFonts w:ascii="Calibri" w:cs="Calibri" w:eastAsia="Calibri" w:hAnsi="Calibri"/>
        </w:rPr>
      </w:pPr>
      <w:r w:rsidDel="00000000" w:rsidR="00000000" w:rsidRPr="00000000">
        <w:rPr>
          <w:rFonts w:ascii="Calibri" w:cs="Calibri" w:eastAsia="Calibri" w:hAnsi="Calibri"/>
          <w:rtl w:val="0"/>
        </w:rPr>
        <w:t xml:space="preserve">V souladu s § 9 ZPVV se proto vydává toto Rozhodnutí. Veškeré pojmy použité v Rozhodnutí jsou definovány ve Všeobecných podmínkách.</w:t>
      </w:r>
    </w:p>
    <w:p w:rsidR="00000000" w:rsidDel="00000000" w:rsidP="00000000" w:rsidRDefault="00000000" w:rsidRPr="00000000" w14:paraId="00000021">
      <w:pPr>
        <w:spacing w:after="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2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rozhodnutí</w:t>
      </w:r>
      <w:r w:rsidDel="00000000" w:rsidR="00000000" w:rsidRPr="00000000">
        <w:rPr>
          <w:rtl w:val="0"/>
        </w:rPr>
      </w:r>
    </w:p>
    <w:p w:rsidR="00000000" w:rsidDel="00000000" w:rsidP="00000000" w:rsidRDefault="00000000" w:rsidRPr="00000000" w14:paraId="00000024">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p>
    <w:p w:rsidR="00000000" w:rsidDel="00000000" w:rsidP="00000000" w:rsidRDefault="00000000" w:rsidRPr="00000000" w14:paraId="00000025">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Účelem podpory je dosažení stanovených cílů projektu, tj. cílů uvedených v příloze Závazné parametry řešení projektu. </w:t>
      </w:r>
    </w:p>
    <w:p w:rsidR="00000000" w:rsidDel="00000000" w:rsidP="00000000" w:rsidRDefault="00000000" w:rsidRPr="00000000" w14:paraId="00000026">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Podpora bude poskytnuta formou zvýšení výdajů organizační složky státu, která je příjemcem, ve smyslu § 4 odst. 1 ZPVV.</w:t>
      </w:r>
    </w:p>
    <w:p w:rsidR="00000000" w:rsidDel="00000000" w:rsidP="00000000" w:rsidRDefault="00000000" w:rsidRPr="00000000" w14:paraId="00000027">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9">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p>
    <w:p w:rsidR="00000000" w:rsidDel="00000000" w:rsidP="00000000" w:rsidRDefault="00000000" w:rsidRPr="00000000" w14:paraId="0000002A">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Maximální výše uznaných nákladů projektu je stanovena ve výši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p>
    <w:p w:rsidR="00000000" w:rsidDel="00000000" w:rsidP="00000000" w:rsidRDefault="00000000" w:rsidRPr="00000000" w14:paraId="0000002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D">
      <w:pPr>
        <w:numPr>
          <w:ilvl w:val="0"/>
          <w:numId w:val="2"/>
        </w:numPr>
        <w:tabs>
          <w:tab w:val="left" w:leader="none" w:pos="567"/>
          <w:tab w:val="left" w:leader="none" w:pos="709"/>
        </w:tabs>
        <w:ind w:left="360" w:hanging="360"/>
        <w:rPr>
          <w:rFonts w:ascii="Calibri" w:cs="Calibri" w:eastAsia="Calibri" w:hAnsi="Calibri"/>
        </w:rPr>
      </w:pPr>
      <w:r w:rsidDel="00000000" w:rsidR="00000000" w:rsidRPr="00000000">
        <w:rPr>
          <w:rFonts w:ascii="Calibri" w:cs="Calibri" w:eastAsia="Calibri" w:hAnsi="Calibri"/>
          <w:rtl w:val="0"/>
        </w:rPr>
        <w:t xml:space="preserve">Nedílnou součástí Smlouvy je příloha </w:t>
      </w:r>
      <w:r w:rsidDel="00000000" w:rsidR="00000000" w:rsidRPr="00000000">
        <w:rPr>
          <w:rFonts w:ascii="Calibri" w:cs="Calibri" w:eastAsia="Calibri" w:hAnsi="Calibri"/>
          <w:b w:val="1"/>
          <w:rtl w:val="0"/>
        </w:rPr>
        <w:t xml:space="preserve">závazné parametry řešení projektu</w:t>
      </w:r>
      <w:r w:rsidDel="00000000" w:rsidR="00000000" w:rsidRPr="00000000">
        <w:rPr>
          <w:rFonts w:ascii="Calibri" w:cs="Calibri" w:eastAsia="Calibri" w:hAnsi="Calibri"/>
          <w:rtl w:val="0"/>
        </w:rPr>
        <w:t xml:space="preserve">, které jsou schváleným návrhem projektu ve smyslu § 9 odst. 2 ZPVV, a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w:t>
      </w:r>
    </w:p>
    <w:p w:rsidR="00000000" w:rsidDel="00000000" w:rsidP="00000000" w:rsidRDefault="00000000" w:rsidRPr="00000000" w14:paraId="0000002E">
      <w:pPr>
        <w:numPr>
          <w:ilvl w:val="0"/>
          <w:numId w:val="2"/>
        </w:numPr>
        <w:tabs>
          <w:tab w:val="left" w:leader="none" w:pos="567"/>
          <w:tab w:val="left" w:leader="none" w:pos="709"/>
        </w:tabs>
        <w:ind w:left="357" w:hanging="357"/>
        <w:rPr>
          <w:rFonts w:ascii="Calibri" w:cs="Calibri" w:eastAsia="Calibri" w:hAnsi="Calibri"/>
        </w:rPr>
      </w:pPr>
      <w:r w:rsidDel="00000000" w:rsidR="00000000" w:rsidRPr="00000000">
        <w:rPr>
          <w:rFonts w:ascii="Calibri" w:cs="Calibri" w:eastAsia="Calibri" w:hAnsi="Calibri"/>
          <w:rtl w:val="0"/>
        </w:rPr>
        <w:t xml:space="preserve">Další podmínky poskytnutí podpory a řešení projektu jsou uvedeny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p>
    <w:p w:rsidR="00000000" w:rsidDel="00000000" w:rsidP="00000000" w:rsidRDefault="00000000" w:rsidRPr="00000000" w14:paraId="0000002F">
      <w:pPr>
        <w:numPr>
          <w:ilvl w:val="0"/>
          <w:numId w:val="2"/>
        </w:numPr>
        <w:tabs>
          <w:tab w:val="left" w:leader="none" w:pos="567"/>
          <w:tab w:val="left" w:leader="none" w:pos="709"/>
        </w:tabs>
        <w:ind w:left="357" w:hanging="357"/>
        <w:rPr>
          <w:rFonts w:ascii="Calibri" w:cs="Calibri" w:eastAsia="Calibri" w:hAnsi="Calibri"/>
        </w:rPr>
      </w:pPr>
      <w:r w:rsidDel="00000000" w:rsidR="00000000" w:rsidRPr="00000000">
        <w:rPr>
          <w:rFonts w:ascii="Calibri" w:cs="Calibri" w:eastAsia="Calibri" w:hAnsi="Calibri"/>
          <w:rtl w:val="0"/>
        </w:rPr>
        <w:t xml:space="preserve">Obsahuje-li Rozhodnutí úpravu odlišnou od Všeobecných podmínek či Závazných parametrů řešení projektu, použijí se přednostně ustanovení Rozhodnutí, dále ustanovení Všeobecných podmínek a dále Závazných parametrů řešení projektu.</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bookmark=id.gjdgxs" w:id="3"/>
    <w:bookmarkEnd w:id="3"/>
    <w:p w:rsidR="00000000" w:rsidDel="00000000" w:rsidP="00000000" w:rsidRDefault="00000000" w:rsidRPr="00000000" w14:paraId="0000003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33">
      <w:pPr>
        <w:numPr>
          <w:ilvl w:val="0"/>
          <w:numId w:val="1"/>
        </w:numPr>
        <w:spacing w:before="24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k řešení navrhovaného projektu, a to nad rámec Všeobecných podmínek.</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425" w:right="-182" w:hanging="425"/>
        <w:rPr>
          <w:rFonts w:ascii="Calibri" w:cs="Calibri" w:eastAsia="Calibri" w:hAnsi="Calibri"/>
        </w:rPr>
      </w:pPr>
      <w:r w:rsidDel="00000000" w:rsidR="00000000" w:rsidRPr="00000000">
        <w:rPr>
          <w:rFonts w:ascii="Calibri" w:cs="Calibri" w:eastAsia="Calibri" w:hAnsi="Calibri"/>
          <w:rtl w:val="0"/>
        </w:rPr>
        <w:t xml:space="preserve">Uvádí-li Všeobecné podmínky či související dokumenty pojem „veřejná soutěž“, pro potřeby projektu financovaného prostřednictvím mezinárodních výzev se jedná o mezinárodní výzvu definovanou v čl. 4 odst. 4 smlouvy.</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425" w:right="-182" w:hanging="425"/>
        <w:rPr>
          <w:rFonts w:ascii="Calibri" w:cs="Calibri" w:eastAsia="Calibri" w:hAnsi="Calibri"/>
        </w:rPr>
      </w:pPr>
      <w:r w:rsidDel="00000000" w:rsidR="00000000" w:rsidRPr="00000000">
        <w:rPr>
          <w:rFonts w:ascii="Calibri" w:cs="Calibri" w:eastAsia="Calibri" w:hAnsi="Calibri"/>
          <w:rtl w:val="0"/>
        </w:rPr>
        <w:t xml:space="preserve">Nad rámec Všeobecných podmínek se stanovuje hlavnímu příjemci povinnost dle zákona č. 563/1991 Sb., o účetnictví zveřejňovat účetní závěrku v příslušném rejstříku ve smyslu zákona č. 304/2013 Sb., o veřejných rejstřících právnických a fyzických osob, a to po celou dobu řešení projektu.</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12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w:t>
      </w:r>
    </w:p>
    <w:p w:rsidR="00000000" w:rsidDel="00000000" w:rsidP="00000000" w:rsidRDefault="00000000" w:rsidRPr="00000000" w14:paraId="00000037">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8">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„Mezinárodní výzvou“ se rozumí výzva, kterou společně vyhlašuje konsorcium poskytovatelů daného ERA-NET Cofundu / Evropského partnerství. Do výzvy předkládají projekty konsorcia mezinárodních partnerů, přičemž každý poskytovatel financuje své národní úspěšné uchazeče ve výzvě.</w:t>
      </w:r>
    </w:p>
    <w:p w:rsidR="00000000" w:rsidDel="00000000" w:rsidP="00000000" w:rsidRDefault="00000000" w:rsidRPr="00000000" w14:paraId="00000039">
      <w:pPr>
        <w:numPr>
          <w:ilvl w:val="0"/>
          <w:numId w:val="1"/>
        </w:numPr>
        <w:ind w:left="425" w:hanging="425"/>
        <w:rPr/>
      </w:pPr>
      <w:r w:rsidDel="00000000" w:rsidR="00000000" w:rsidRPr="00000000">
        <w:rPr>
          <w:rFonts w:ascii="Calibri" w:cs="Calibri" w:eastAsia="Calibri" w:hAnsi="Calibri"/>
          <w:rtl w:val="0"/>
        </w:rPr>
        <w:t xml:space="preserve">Nad rámec Všeobecných podmínek se stanovuje hlavnímu příjemci povinnost mít uzavřenou příslušnou konsorciální smlouvu (Consortium Agreement) se zahraničním partnerem, přičemž je možné, aby zahraniční partner byl jednou ze smluvních stran Smlouvy o účasti na řešení projektu, aniž by byl v roli dalšího účastníka. Čl. 6 Všeobecných podmínek „Smlouva o účasti na řešení projektu” a související ustanovení se použijí i pro konsorciální smlouvu se zahraničním partnerem s výjimkou čl. 6 odst. 2 písm. c) a d). Konsorciální smlouva musí být v anglickém jazyce. </w:t>
      </w:r>
      <w:r w:rsidDel="00000000" w:rsidR="00000000" w:rsidRPr="00000000">
        <w:rPr>
          <w:rtl w:val="0"/>
        </w:rPr>
      </w:r>
    </w:p>
    <w:p w:rsidR="00000000" w:rsidDel="00000000" w:rsidP="00000000" w:rsidRDefault="00000000" w:rsidRPr="00000000" w14:paraId="0000003A">
      <w:pPr>
        <w:numPr>
          <w:ilvl w:val="0"/>
          <w:numId w:val="1"/>
        </w:numPr>
        <w:ind w:left="425" w:hanging="425"/>
        <w:rPr>
          <w:rFonts w:ascii="Calibri" w:cs="Calibri" w:eastAsia="Calibri" w:hAnsi="Calibri"/>
        </w:rPr>
      </w:pPr>
      <w:bookmarkStart w:colFirst="0" w:colLast="0" w:name="_heading=h.gjdgxs" w:id="1"/>
      <w:bookmarkEnd w:id="1"/>
      <w:r w:rsidDel="00000000" w:rsidR="00000000" w:rsidRPr="00000000">
        <w:rPr>
          <w:rFonts w:ascii="Calibri" w:cs="Calibri" w:eastAsia="Calibri" w:hAnsi="Calibri"/>
          <w:rtl w:val="0"/>
        </w:rPr>
        <w:t xml:space="preserve">Čl. 11 Všeobecných podmínek se doplňuje o nový odst. 5, který zní:</w:t>
      </w:r>
    </w:p>
    <w:p w:rsidR="00000000" w:rsidDel="00000000" w:rsidP="00000000" w:rsidRDefault="00000000" w:rsidRPr="00000000" w14:paraId="0000003B">
      <w:pPr>
        <w:ind w:left="850.3937007874017" w:firstLine="0"/>
        <w:rPr>
          <w:rFonts w:ascii="Calibri" w:cs="Calibri" w:eastAsia="Calibri" w:hAnsi="Calibri"/>
        </w:rPr>
      </w:pPr>
      <w:bookmarkStart w:colFirst="0" w:colLast="0" w:name="_heading=h.c3pc2xfm74uy" w:id="4"/>
      <w:bookmarkEnd w:id="4"/>
      <w:r w:rsidDel="00000000" w:rsidR="00000000" w:rsidRPr="00000000">
        <w:rPr>
          <w:rtl w:val="0"/>
        </w:rPr>
        <w:t xml:space="preserve">„</w:t>
      </w:r>
      <w:r w:rsidDel="00000000" w:rsidR="00000000" w:rsidRPr="00000000">
        <w:rPr>
          <w:rFonts w:ascii="Calibri" w:cs="Calibri" w:eastAsia="Calibri" w:hAnsi="Calibri"/>
          <w:rtl w:val="0"/>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v četnosti stanovené v oficiálních dokumentech výzvy, přičemž koordinátor obdrží včas požadované šablony zpráv od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které poskytne příjemci k vyplnění.”</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ind w:left="425" w:hanging="425"/>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D">
      <w:pPr>
        <w:numPr>
          <w:ilvl w:val="0"/>
          <w:numId w:val="1"/>
        </w:numPr>
        <w:ind w:left="425" w:hanging="425"/>
        <w:rPr/>
      </w:pPr>
      <w:r w:rsidDel="00000000" w:rsidR="00000000" w:rsidRPr="00000000">
        <w:rPr>
          <w:rFonts w:ascii="Calibri" w:cs="Calibri" w:eastAsia="Calibri" w:hAnsi="Calibri"/>
          <w:rtl w:val="0"/>
        </w:rPr>
        <w:t xml:space="preserve">Čl. 14 Všeobecných podmínek se doplňuje o nový odst. 5, který zní:</w:t>
      </w:r>
      <w:r w:rsidDel="00000000" w:rsidR="00000000" w:rsidRPr="00000000">
        <w:rPr>
          <w:rtl w:val="0"/>
        </w:rPr>
      </w:r>
    </w:p>
    <w:p w:rsidR="00000000" w:rsidDel="00000000" w:rsidP="00000000" w:rsidRDefault="00000000" w:rsidRPr="00000000" w14:paraId="0000003E">
      <w:pPr>
        <w:ind w:left="0" w:right="566" w:firstLine="850.3937007874017"/>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120" w:before="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Čl. 17 Všeobecných podmínek se doplňuje o nový odst. 11, který zní:</w:t>
      </w:r>
    </w:p>
    <w:p w:rsidR="00000000" w:rsidDel="00000000" w:rsidP="00000000" w:rsidRDefault="00000000" w:rsidRPr="00000000" w14:paraId="00000040">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41">
      <w:pPr>
        <w:numPr>
          <w:ilvl w:val="0"/>
          <w:numId w:val="1"/>
        </w:numPr>
        <w:ind w:left="425"/>
      </w:pPr>
      <w:r w:rsidDel="00000000" w:rsidR="00000000" w:rsidRPr="00000000">
        <w:rPr>
          <w:rFonts w:ascii="Calibri" w:cs="Calibri" w:eastAsia="Calibri" w:hAnsi="Calibri"/>
          <w:b w:val="1"/>
          <w:color w:val="ff0000"/>
          <w:rtl w:val="0"/>
        </w:rPr>
        <w:t xml:space="preserve">Čl. 17 Všeobecných podmínek se doplňuje o nový odst. 12, který zní:</w:t>
      </w:r>
      <w:r w:rsidDel="00000000" w:rsidR="00000000" w:rsidRPr="00000000">
        <w:rPr>
          <w:rtl w:val="0"/>
        </w:rPr>
      </w:r>
    </w:p>
    <w:p w:rsidR="00000000" w:rsidDel="00000000" w:rsidP="00000000" w:rsidRDefault="00000000" w:rsidRPr="00000000" w14:paraId="00000042">
      <w:pPr>
        <w:spacing w:line="360" w:lineRule="auto"/>
        <w:ind w:left="850" w:right="566" w:firstLine="0"/>
        <w:rPr>
          <w:rFonts w:ascii="Calibri" w:cs="Calibri" w:eastAsia="Calibri" w:hAnsi="Calibri"/>
        </w:rPr>
      </w:pPr>
      <w:r w:rsidDel="00000000" w:rsidR="00000000" w:rsidRPr="00000000">
        <w:rPr>
          <w:rFonts w:ascii="Calibri" w:cs="Calibri" w:eastAsia="Calibri" w:hAnsi="Calibri"/>
          <w:b w:val="1"/>
          <w:color w:val="ff0000"/>
          <w:rtl w:val="0"/>
        </w:rPr>
        <w:t xml:space="preserve">„Náklady se zdanitelným plněním po 30. 6. 2026 nebudou považovány za uznané.“</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120" w:before="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Poskytovatel se zavazuje poskytnout podporu v každém roce řešení ve výši uvedené v Závazných parametrech řešení projektu</w:t>
      </w:r>
    </w:p>
    <w:p w:rsidR="00000000" w:rsidDel="00000000" w:rsidP="00000000" w:rsidRDefault="00000000" w:rsidRPr="00000000" w14:paraId="00000044">
      <w:pPr>
        <w:numPr>
          <w:ilvl w:val="0"/>
          <w:numId w:val="6"/>
        </w:numPr>
        <w:spacing w:after="0" w:before="0" w:lineRule="auto"/>
        <w:ind w:left="850.3937007874017" w:right="-182" w:hanging="283.4645669291342"/>
        <w:rPr>
          <w:rFonts w:ascii="Calibri" w:cs="Calibri" w:eastAsia="Calibri" w:hAnsi="Calibri"/>
          <w:u w:val="none"/>
        </w:rPr>
      </w:pPr>
      <w:r w:rsidDel="00000000" w:rsidR="00000000" w:rsidRPr="00000000">
        <w:rPr>
          <w:rFonts w:ascii="Calibri" w:cs="Calibri" w:eastAsia="Calibri" w:hAnsi="Calibri"/>
          <w:rtl w:val="0"/>
        </w:rPr>
        <w:t xml:space="preserve">do 60 kalendářních dnů ode dne nabytí účinnosti smlouvy a</w:t>
      </w:r>
      <w:r w:rsidDel="00000000" w:rsidR="00000000" w:rsidRPr="00000000">
        <w:rPr>
          <w:rtl w:val="0"/>
        </w:rPr>
      </w:r>
    </w:p>
    <w:p w:rsidR="00000000" w:rsidDel="00000000" w:rsidP="00000000" w:rsidRDefault="00000000" w:rsidRPr="00000000" w14:paraId="00000045">
      <w:pPr>
        <w:numPr>
          <w:ilvl w:val="0"/>
          <w:numId w:val="6"/>
        </w:numPr>
        <w:spacing w:before="0" w:lineRule="auto"/>
        <w:ind w:left="850.3937007874017" w:right="-182" w:hanging="283.4645669291342"/>
        <w:rPr>
          <w:rFonts w:ascii="Calibri" w:cs="Calibri" w:eastAsia="Calibri" w:hAnsi="Calibri"/>
          <w:u w:val="none"/>
        </w:rPr>
      </w:pPr>
      <w:r w:rsidDel="00000000" w:rsidR="00000000" w:rsidRPr="00000000">
        <w:rPr>
          <w:rFonts w:ascii="Calibri" w:cs="Calibri" w:eastAsia="Calibri" w:hAnsi="Calibri"/>
          <w:rtl w:val="0"/>
        </w:rPr>
        <w:t xml:space="preserve">u víceletých projektů pro druhý a každý následující rok řešení do 60 kalendářních dnů od začátku příslušného kalendářního roku.</w:t>
      </w:r>
      <w:r w:rsidDel="00000000" w:rsidR="00000000" w:rsidRPr="00000000">
        <w:rPr>
          <w:rtl w:val="0"/>
        </w:rPr>
      </w:r>
    </w:p>
    <w:p w:rsidR="00000000" w:rsidDel="00000000" w:rsidP="00000000" w:rsidRDefault="00000000" w:rsidRPr="00000000" w14:paraId="00000046">
      <w:pPr>
        <w:numPr>
          <w:ilvl w:val="0"/>
          <w:numId w:val="1"/>
        </w:numPr>
        <w:ind w:left="425" w:right="-180" w:hanging="425"/>
        <w:rPr/>
      </w:pPr>
      <w:r w:rsidDel="00000000" w:rsidR="00000000" w:rsidRPr="00000000">
        <w:rPr>
          <w:rFonts w:ascii="Calibri" w:cs="Calibri" w:eastAsia="Calibri" w:hAnsi="Calibri"/>
          <w:rtl w:val="0"/>
        </w:rPr>
        <w:t xml:space="preserve">Nad rámec Všeobecných podmínek je příjemce povinen dodržovat zásadu „významně nepoškozovat” ve smyslu článku 17 Nařízení Evropského parlamentu a Rady (EU) 2020/852 ze dne 18. června 2020 o zřízení rámce pro usnadnění udržitelných investic a o změně nařízení (EU) 2019/2088, tzn. nesmí dojít k porušení ani jednoho z šesti environmentálních cílů a výsledky projektu budou na úrovni uplatňování technologicky neutrální.</w:t>
      </w: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120" w:before="0" w:lineRule="auto"/>
        <w:ind w:left="425" w:right="-182" w:hanging="425"/>
        <w:rPr>
          <w:rFonts w:ascii="Calibri" w:cs="Calibri" w:eastAsia="Calibri" w:hAnsi="Calibri"/>
          <w:u w:val="none"/>
        </w:rPr>
      </w:pPr>
      <w:r w:rsidDel="00000000" w:rsidR="00000000" w:rsidRPr="00000000">
        <w:rPr>
          <w:rFonts w:ascii="Calibri" w:cs="Calibri" w:eastAsia="Calibri" w:hAnsi="Calibri"/>
          <w:rtl w:val="0"/>
        </w:rPr>
        <w:t xml:space="preserve">Čl. 4 odst. 2 písm. c) Všeobecných podmínek se mění takto:</w:t>
      </w:r>
      <w:r w:rsidDel="00000000" w:rsidR="00000000" w:rsidRPr="00000000">
        <w:rPr>
          <w:rtl w:val="0"/>
        </w:rPr>
      </w:r>
    </w:p>
    <w:p w:rsidR="00000000" w:rsidDel="00000000" w:rsidP="00000000" w:rsidRDefault="00000000" w:rsidRPr="00000000" w14:paraId="00000048">
      <w:pPr>
        <w:spacing w:after="240" w:before="240" w:lineRule="auto"/>
        <w:ind w:left="860" w:right="-180" w:firstLine="0"/>
        <w:rPr>
          <w:rFonts w:ascii="Calibri" w:cs="Calibri" w:eastAsia="Calibri" w:hAnsi="Calibri"/>
        </w:rPr>
      </w:pPr>
      <w:r w:rsidDel="00000000" w:rsidR="00000000" w:rsidRPr="00000000">
        <w:rPr>
          <w:rFonts w:ascii="Calibri" w:cs="Calibri" w:eastAsia="Calibri" w:hAnsi="Calibri"/>
          <w:rtl w:val="0"/>
        </w:rPr>
        <w:t xml:space="preserve">“při prezentaci informací o řešeném projektu s podporou TA ČR či o jeho výsledcích v hromadných sdělovacích prostředcích či jiným způsobem, informovat přiměřeným způsobem o tom, že projekt byl realizován za finanční podpory TA ČR, a to na všech propagačních materiálech i ve všech typech médií, které se k projektu či jeho výsledkům a výstupům vztahují, a to v souladu s podmínkami vizuální identity uveřejněnými na webových stránkách poskytovatele, a též v souladu s podmínkami vizuální identity stanovenými v Metodickém pokynu pro publicitu a komunikaci pro Národní plán obnovy na období 2021–2026.”</w:t>
      </w:r>
    </w:p>
    <w:p w:rsidR="00000000" w:rsidDel="00000000" w:rsidP="00000000" w:rsidRDefault="00000000" w:rsidRPr="00000000" w14:paraId="00000049">
      <w:pPr>
        <w:numPr>
          <w:ilvl w:val="0"/>
          <w:numId w:val="1"/>
        </w:numPr>
        <w:ind w:left="425" w:right="-180" w:hanging="425"/>
        <w:rPr/>
      </w:pPr>
      <w:r w:rsidDel="00000000" w:rsidR="00000000" w:rsidRPr="00000000">
        <w:rPr>
          <w:rFonts w:ascii="Calibri" w:cs="Calibri" w:eastAsia="Calibri" w:hAnsi="Calibri"/>
          <w:rtl w:val="0"/>
        </w:rPr>
        <w:t xml:space="preserve">Nad rámec všeobecných podmínek je příjemce povinen učinit veškerá opatření, aby nevznikl střet zájmů ve smyslu článku 61 Nařízení Evropského parlamentu a Rady (EU) 2018/1046 ze dne 18. července 2018, a pokud taková situace nastane, je povinen tuto skutečnost neprodleně oznámit poskytovateli.</w:t>
      </w:r>
      <w:r w:rsidDel="00000000" w:rsidR="00000000" w:rsidRPr="00000000">
        <w:rPr>
          <w:rtl w:val="0"/>
        </w:rPr>
      </w:r>
    </w:p>
    <w:p w:rsidR="00000000" w:rsidDel="00000000" w:rsidP="00000000" w:rsidRDefault="00000000" w:rsidRPr="00000000" w14:paraId="0000004A">
      <w:pPr>
        <w:numPr>
          <w:ilvl w:val="0"/>
          <w:numId w:val="1"/>
        </w:numPr>
        <w:ind w:left="425" w:right="-180" w:hanging="425"/>
        <w:rPr/>
      </w:pPr>
      <w:r w:rsidDel="00000000" w:rsidR="00000000" w:rsidRPr="00000000">
        <w:rPr>
          <w:rFonts w:ascii="Calibri" w:cs="Calibri" w:eastAsia="Calibri" w:hAnsi="Calibri"/>
          <w:rtl w:val="0"/>
        </w:rPr>
        <w:t xml:space="preserve">Čl. 17 odst. 8 Všeobecných podmínek se nahrazuje tímto:</w:t>
      </w:r>
      <w:r w:rsidDel="00000000" w:rsidR="00000000" w:rsidRPr="00000000">
        <w:rPr>
          <w:rtl w:val="0"/>
        </w:rPr>
      </w:r>
    </w:p>
    <w:p w:rsidR="00000000" w:rsidDel="00000000" w:rsidP="00000000" w:rsidRDefault="00000000" w:rsidRPr="00000000" w14:paraId="0000004B">
      <w:pPr>
        <w:ind w:left="860" w:right="-180" w:firstLine="0"/>
        <w:rPr>
          <w:rFonts w:ascii="Calibri" w:cs="Calibri" w:eastAsia="Calibri" w:hAnsi="Calibri"/>
        </w:rPr>
      </w:pPr>
      <w:r w:rsidDel="00000000" w:rsidR="00000000" w:rsidRPr="00000000">
        <w:rPr>
          <w:rFonts w:ascii="Calibri" w:cs="Calibri" w:eastAsia="Calibri" w:hAnsi="Calibri"/>
          <w:rtl w:val="0"/>
        </w:rPr>
        <w:t xml:space="preserve">“Daň z přidané hodnoty dle zákona č. 235/2004 Sb., o dani z přidané hodnoty není v této veřejné soutěži uznaný náklad, ani pro neplátce DPH.”</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0" w:lineRule="auto"/>
        <w:ind w:left="0" w:right="-182"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ind w:left="0" w:right="-182"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51">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52">
      <w:pPr>
        <w:numPr>
          <w:ilvl w:val="0"/>
          <w:numId w:val="7"/>
        </w:numPr>
        <w:tabs>
          <w:tab w:val="left" w:leader="none" w:pos="567"/>
          <w:tab w:val="left" w:leader="none" w:pos="709"/>
        </w:tabs>
        <w:ind w:left="360" w:hanging="360"/>
        <w:rPr>
          <w:rFonts w:ascii="Calibri" w:cs="Calibri" w:eastAsia="Calibri" w:hAnsi="Calibri"/>
        </w:rPr>
      </w:pPr>
      <w:r w:rsidDel="00000000" w:rsidR="00000000" w:rsidRPr="00000000">
        <w:rPr>
          <w:rFonts w:ascii="Calibri" w:cs="Calibri" w:eastAsia="Calibri" w:hAnsi="Calibri"/>
          <w:rtl w:val="0"/>
        </w:rPr>
        <w:t xml:space="preserve">Rozhodnutí </w:t>
      </w:r>
      <w:r w:rsidDel="00000000" w:rsidR="00000000" w:rsidRPr="00000000">
        <w:rPr>
          <w:rFonts w:ascii="Calibri" w:cs="Calibri" w:eastAsia="Calibri" w:hAnsi="Calibri"/>
          <w:highlight w:val="yellow"/>
          <w:rtl w:val="0"/>
        </w:rPr>
        <w:t xml:space="preserve">nabývá právní moci a vykonatelnosti dnem</w:t>
      </w:r>
      <w:r w:rsidDel="00000000" w:rsidR="00000000" w:rsidRPr="00000000">
        <w:rPr>
          <w:rFonts w:ascii="Calibri" w:cs="Calibri" w:eastAsia="Calibri" w:hAnsi="Calibri"/>
          <w:rtl w:val="0"/>
        </w:rPr>
        <w:t xml:space="preserve"> jeho doručení příjemci.</w:t>
      </w:r>
    </w:p>
    <w:p w:rsidR="00000000" w:rsidDel="00000000" w:rsidP="00000000" w:rsidRDefault="00000000" w:rsidRPr="00000000" w14:paraId="00000053">
      <w:pPr>
        <w:numPr>
          <w:ilvl w:val="0"/>
          <w:numId w:val="7"/>
        </w:numPr>
        <w:tabs>
          <w:tab w:val="left" w:leader="none" w:pos="567"/>
          <w:tab w:val="left" w:leader="none" w:pos="709"/>
        </w:tabs>
        <w:ind w:left="360" w:hanging="360"/>
        <w:rPr>
          <w:rFonts w:ascii="Calibri" w:cs="Calibri" w:eastAsia="Calibri" w:hAnsi="Calibri"/>
        </w:rPr>
      </w:pPr>
      <w:r w:rsidDel="00000000" w:rsidR="00000000" w:rsidRPr="00000000">
        <w:rPr>
          <w:rFonts w:ascii="Calibri" w:cs="Calibri" w:eastAsia="Calibri" w:hAnsi="Calibri"/>
          <w:rtl w:val="0"/>
        </w:rPr>
        <w:t xml:space="preserve">Rozhodnutí se vydává na dobu určitou, a to do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6"/>
          <w:numId w:val="3"/>
        </w:numPr>
        <w:spacing w:before="0" w:line="240" w:lineRule="auto"/>
        <w:ind w:left="5040" w:firstLine="147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tbl>
      <w:tblPr>
        <w:tblStyle w:val="Table1"/>
        <w:tblW w:w="9639.0" w:type="dxa"/>
        <w:jc w:val="left"/>
        <w:tblInd w:w="-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5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w:t>
            </w:r>
          </w:p>
        </w:tc>
        <w:tc>
          <w:tcPr>
            <w:tcBorders>
              <w:bottom w:color="000000" w:space="0" w:sz="4" w:val="single"/>
            </w:tcBorders>
          </w:tcPr>
          <w:p w:rsidR="00000000" w:rsidDel="00000000" w:rsidP="00000000" w:rsidRDefault="00000000" w:rsidRPr="00000000" w14:paraId="00000058">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9">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5A">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předseda/předsedkyně TA ČR</w:t>
            </w:r>
          </w:p>
        </w:tc>
      </w:tr>
    </w:tbl>
    <w:bookmarkStart w:colFirst="0" w:colLast="0" w:name="bookmark=id.30j0zll" w:id="5"/>
    <w:bookmarkEnd w:id="5"/>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rFonts w:ascii="Calibri" w:cs="Calibri" w:eastAsia="Calibri" w:hAnsi="Calibri"/>
        <w:sz w:val="16"/>
        <w:szCs w:val="16"/>
      </w:rPr>
    </w:pPr>
    <w:bookmarkStart w:colFirst="0" w:colLast="0" w:name="_heading=h.1fob9te" w:id="6"/>
    <w:bookmarkEnd w:id="6"/>
    <w:r w:rsidDel="00000000" w:rsidR="00000000" w:rsidRPr="00000000">
      <w:rPr>
        <w:rFonts w:ascii="Calibri" w:cs="Calibri" w:eastAsia="Calibri" w:hAnsi="Calibri"/>
        <w:sz w:val="16"/>
        <w:szCs w:val="16"/>
        <w:rtl w:val="0"/>
      </w:rPr>
      <w:t xml:space="preserve">F-353, verze 3</w:t>
      <w:tab/>
      <w:t xml:space="preserve">Strana</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sz w:val="16"/>
        <w:szCs w:val="16"/>
        <w:rtl w:val="0"/>
      </w:rPr>
      <w:tab/>
    </w:r>
    <w:r w:rsidDel="00000000" w:rsidR="00000000" w:rsidRPr="00000000">
      <w:rPr>
        <w:rFonts w:ascii="Calibri" w:cs="Calibri" w:eastAsia="Calibri" w:hAnsi="Calibri"/>
        <w:sz w:val="16"/>
        <w:szCs w:val="16"/>
        <w:rtl w:val="0"/>
      </w:rPr>
      <w:t xml:space="preserve">Veřejný</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tabs>
        <w:tab w:val="center" w:leader="none" w:pos="4536"/>
        <w:tab w:val="right" w:leader="none" w:pos="9072"/>
      </w:tabs>
      <w:spacing w:before="1134"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Rozhodnutí</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-892168</wp:posOffset>
          </wp:positionH>
          <wp:positionV relativeFrom="paragraph">
            <wp:posOffset>-441955</wp:posOffset>
          </wp:positionV>
          <wp:extent cx="1439545" cy="1439545"/>
          <wp:effectExtent b="0" l="0" r="0" t="0"/>
          <wp:wrapNone/>
          <wp:docPr id="5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5F">
    <w:pPr>
      <w:tabs>
        <w:tab w:val="center" w:leader="none" w:pos="4536"/>
        <w:tab w:val="right" w:leader="none" w:pos="9072"/>
      </w:tabs>
      <w:spacing w:before="0" w:line="240" w:lineRule="auto"/>
      <w:jc w:val="right"/>
      <w:rPr>
        <w:rFonts w:ascii="Calibri" w:cs="Calibri" w:eastAsia="Calibri" w:hAnsi="Calibri"/>
        <w:b w:val="1"/>
        <w:sz w:val="16"/>
        <w:szCs w:val="16"/>
        <w:highlight w:val="yellow"/>
      </w:rPr>
    </w:pPr>
    <w:r w:rsidDel="00000000" w:rsidR="00000000" w:rsidRPr="00000000">
      <w:rPr>
        <w:rFonts w:ascii="Calibri" w:cs="Calibri" w:eastAsia="Calibri" w:hAnsi="Calibri"/>
        <w:b w:val="1"/>
        <w:sz w:val="16"/>
        <w:szCs w:val="16"/>
        <w:rtl w:val="0"/>
      </w:rPr>
      <w:t xml:space="preserve">Číslo rozhodnutí: 20</w:t>
    </w:r>
    <w:r w:rsidDel="00000000" w:rsidR="00000000" w:rsidRPr="00000000">
      <w:rPr>
        <w:rFonts w:ascii="Calibri" w:cs="Calibri" w:eastAsia="Calibri" w:hAnsi="Calibri"/>
        <w:b w:val="1"/>
        <w:sz w:val="16"/>
        <w:szCs w:val="16"/>
        <w:highlight w:val="yellow"/>
        <w:rtl w:val="0"/>
      </w:rPr>
      <w:t xml:space="preserve">XXxxxx</w:t>
    </w:r>
  </w:p>
  <w:p w:rsidR="00000000" w:rsidDel="00000000" w:rsidP="00000000" w:rsidRDefault="00000000" w:rsidRPr="00000000" w14:paraId="00000060">
    <w:pPr>
      <w:tabs>
        <w:tab w:val="center" w:leader="none" w:pos="4536"/>
        <w:tab w:val="right" w:leader="none" w:pos="9072"/>
      </w:tabs>
      <w:spacing w:before="0" w:line="240" w:lineRule="auto"/>
      <w:jc w:val="right"/>
      <w:rPr>
        <w:rFonts w:ascii="Calibri" w:cs="Calibri" w:eastAsia="Calibri" w:hAnsi="Calibri"/>
        <w:b w:val="1"/>
        <w:sz w:val="16"/>
        <w:szCs w:val="16"/>
        <w:highlight w:val="yellow"/>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360" w:firstLine="1080"/>
      </w:pPr>
      <w:rPr>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5">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E12F54"/>
    <w:rPr>
      <w:color w:val="000000"/>
    </w:rPr>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Zkladntext">
    <w:name w:val="Body Text"/>
    <w:basedOn w:val="Normln"/>
    <w:link w:val="ZkladntextChar"/>
    <w:uiPriority w:val="99"/>
    <w:semiHidden w:val="1"/>
    <w:unhideWhenUsed w:val="1"/>
    <w:rsid w:val="00E12F54"/>
    <w:pPr>
      <w:autoSpaceDE w:val="0"/>
      <w:autoSpaceDN w:val="0"/>
      <w:adjustRightInd w:val="0"/>
      <w:spacing w:after="120"/>
    </w:pPr>
    <w:rPr>
      <w:rFonts w:eastAsiaTheme="minorHAnsi"/>
      <w:lang w:eastAsia="en-US"/>
    </w:rPr>
  </w:style>
  <w:style w:type="character" w:styleId="ZkladntextChar" w:customStyle="1">
    <w:name w:val="Základní text Char"/>
    <w:basedOn w:val="Standardnpsmoodstavce"/>
    <w:link w:val="Zkladntext"/>
    <w:uiPriority w:val="99"/>
    <w:semiHidden w:val="1"/>
    <w:rsid w:val="00E12F54"/>
    <w:rPr>
      <w:rFonts w:ascii="Cambria" w:cs="Cambria" w:hAnsi="Cambria"/>
      <w:color w:val="000000"/>
    </w:rPr>
  </w:style>
  <w:style w:type="paragraph" w:styleId="Zhlav">
    <w:name w:val="header"/>
    <w:basedOn w:val="Normln"/>
    <w:link w:val="ZhlavChar"/>
    <w:uiPriority w:val="99"/>
    <w:unhideWhenUsed w:val="1"/>
    <w:rsid w:val="0093307C"/>
    <w:pPr>
      <w:tabs>
        <w:tab w:val="center" w:pos="4536"/>
        <w:tab w:val="right" w:pos="9072"/>
      </w:tabs>
      <w:spacing w:before="0" w:line="240" w:lineRule="auto"/>
    </w:pPr>
  </w:style>
  <w:style w:type="character" w:styleId="ZhlavChar" w:customStyle="1">
    <w:name w:val="Záhlaví Char"/>
    <w:basedOn w:val="Standardnpsmoodstavce"/>
    <w:link w:val="Zhlav"/>
    <w:uiPriority w:val="99"/>
    <w:rsid w:val="0093307C"/>
    <w:rPr>
      <w:rFonts w:ascii="Cambria" w:cs="Cambria" w:eastAsia="Cambria" w:hAnsi="Cambria"/>
      <w:color w:val="000000"/>
      <w:lang w:eastAsia="cs-CZ"/>
    </w:rPr>
  </w:style>
  <w:style w:type="paragraph" w:styleId="Zpat">
    <w:name w:val="footer"/>
    <w:basedOn w:val="Normln"/>
    <w:link w:val="ZpatChar"/>
    <w:uiPriority w:val="99"/>
    <w:unhideWhenUsed w:val="1"/>
    <w:rsid w:val="0093307C"/>
    <w:pPr>
      <w:tabs>
        <w:tab w:val="center" w:pos="4536"/>
        <w:tab w:val="right" w:pos="9072"/>
      </w:tabs>
      <w:spacing w:before="0" w:line="240" w:lineRule="auto"/>
    </w:pPr>
  </w:style>
  <w:style w:type="character" w:styleId="ZpatChar" w:customStyle="1">
    <w:name w:val="Zápatí Char"/>
    <w:basedOn w:val="Standardnpsmoodstavce"/>
    <w:link w:val="Zpat"/>
    <w:uiPriority w:val="99"/>
    <w:rsid w:val="0093307C"/>
    <w:rPr>
      <w:rFonts w:ascii="Cambria" w:cs="Cambria" w:eastAsia="Cambria" w:hAnsi="Cambria"/>
      <w:color w:val="000000"/>
      <w:lang w:eastAsia="cs-CZ"/>
    </w:rPr>
  </w:style>
  <w:style w:type="paragraph" w:styleId="Zpat1" w:customStyle="1">
    <w:name w:val="Zápatí1"/>
    <w:basedOn w:val="Zpat"/>
    <w:qFormat w:val="1"/>
    <w:rsid w:val="0093307C"/>
    <w:pPr>
      <w:autoSpaceDE w:val="0"/>
      <w:autoSpaceDN w:val="0"/>
      <w:adjustRightInd w:val="0"/>
      <w:jc w:val="right"/>
      <w:textAlignment w:val="center"/>
    </w:pPr>
    <w:rPr>
      <w:rFonts w:eastAsiaTheme="minorHAnsi"/>
      <w:noProof w:val="1"/>
      <w:sz w:val="16"/>
    </w:rPr>
  </w:style>
  <w:style w:type="paragraph" w:styleId="Odstavecseseznamem">
    <w:name w:val="List Paragraph"/>
    <w:basedOn w:val="Normln"/>
    <w:uiPriority w:val="34"/>
    <w:qFormat w:val="1"/>
    <w:rsid w:val="003518C6"/>
    <w:pPr>
      <w:ind w:left="720"/>
      <w:contextualSpacing w:val="1"/>
    </w:p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WQ6zkmQR8aN6lIoeceVXNjB7+w==">AMUW2mV3awf2A5xTq0rV/P+Npft3wOx/0C1VGBnQwc6Ct9/vgRtb2D+TQsCJn/ykQ6tqvb26Kh6N/oQTCLIDuV+kznY087FKAcVC8dwVXMRsZu97whw+jtQtksMDfmUFgn3Kgc91bM6lan5kWHbuhWY8yt54/p8dZVUbuj1gVgNIIfPG1twOb15ENgO8SyryERDmX9DK2LFJri/t6uNNe6ZP20viPuiR56bB0/pTYBRZh9h9FCFirldJyQJJSDTsBvdienUXdGpe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2019-12-15T15:20:00Z</dcterms:created>
  <dc:creator>Michaela Kaňová</dc:creator>
</cp:coreProperties>
</file>